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right"/>
        <w:rPr>
          <w:rFonts w:ascii="Arial" w:cs="Arial" w:eastAsia="Arial" w:hAnsi="Arial"/>
          <w:sz w:val="20"/>
          <w:szCs w:val="20"/>
        </w:rPr>
      </w:pPr>
      <w:r w:rsidDel="00000000" w:rsidR="00000000" w:rsidRPr="00000000">
        <w:rPr>
          <w:rtl w:val="0"/>
        </w:rPr>
      </w:r>
    </w:p>
    <w:tbl>
      <w:tblPr>
        <w:tblStyle w:val="Table1"/>
        <w:tblW w:w="10512.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376"/>
        <w:gridCol w:w="4143"/>
        <w:gridCol w:w="3228"/>
        <w:gridCol w:w="588"/>
        <w:gridCol w:w="53"/>
        <w:gridCol w:w="124"/>
        <w:tblGridChange w:id="0">
          <w:tblGrid>
            <w:gridCol w:w="2376"/>
            <w:gridCol w:w="4143"/>
            <w:gridCol w:w="3228"/>
            <w:gridCol w:w="588"/>
            <w:gridCol w:w="53"/>
            <w:gridCol w:w="124"/>
          </w:tblGrid>
        </w:tblGridChange>
      </w:tblGrid>
      <w:tr>
        <w:trPr>
          <w:cantSplit w:val="0"/>
          <w:tblHeader w:val="0"/>
        </w:trPr>
        <w:tc>
          <w:tcPr>
            <w:gridSpan w:val="2"/>
          </w:tcPr>
          <w:p w:rsidR="00000000" w:rsidDel="00000000" w:rsidP="00000000" w:rsidRDefault="00000000" w:rsidRPr="00000000" w14:paraId="00000002">
            <w:pPr>
              <w:spacing w:after="120" w:line="276" w:lineRule="auto"/>
              <w:rPr>
                <w:rFonts w:ascii="Arial" w:cs="Arial" w:eastAsia="Arial" w:hAnsi="Arial"/>
                <w:i w:val="1"/>
                <w:iCs w:val="1"/>
                <w:sz w:val="20"/>
                <w:szCs w:val="20"/>
              </w:rPr>
            </w:pPr>
            <w:r w:rsidDel="00000000" w:rsidR="00000000" w:rsidRPr="00000000">
              <w:rPr/>
              <w:drawing>
                <wp:inline distB="0" distT="0" distL="0" distR="0">
                  <wp:extent cx="2155297" cy="922903"/>
                  <wp:effectExtent b="0" l="0" r="0" t="0"/>
                  <wp:docPr descr="logo uw - strona główna" id="14" name="image1.png"/>
                  <a:graphic>
                    <a:graphicData uri="http://schemas.openxmlformats.org/drawingml/2006/picture">
                      <pic:pic>
                        <pic:nvPicPr>
                          <pic:cNvPr descr="logo uw - strona główna" id="0" name="image1.png"/>
                          <pic:cNvPicPr preferRelativeResize="0"/>
                        </pic:nvPicPr>
                        <pic:blipFill>
                          <a:blip r:embed="rId8"/>
                          <a:srcRect b="0" l="0" r="0" t="0"/>
                          <a:stretch>
                            <a:fillRect/>
                          </a:stretch>
                        </pic:blipFill>
                        <pic:spPr>
                          <a:xfrm>
                            <a:off x="0" y="0"/>
                            <a:ext cx="2155297" cy="922903"/>
                          </a:xfrm>
                          <a:prstGeom prst="rect"/>
                          <a:ln/>
                        </pic:spPr>
                      </pic:pic>
                    </a:graphicData>
                  </a:graphic>
                </wp:inline>
              </w:drawing>
            </w:r>
            <w:r w:rsidDel="00000000" w:rsidR="00000000" w:rsidRPr="00000000">
              <w:rPr>
                <w:rtl w:val="0"/>
              </w:rPr>
            </w:r>
          </w:p>
        </w:tc>
        <w:tc>
          <w:tcPr>
            <w:gridSpan w:val="4"/>
          </w:tcPr>
          <w:p w:rsidR="00000000" w:rsidDel="00000000" w:rsidP="00000000" w:rsidRDefault="00000000" w:rsidRPr="00000000" w14:paraId="00000004">
            <w:pPr>
              <w:spacing w:after="120" w:line="276" w:lineRule="auto"/>
              <w:jc w:val="right"/>
              <w:rPr>
                <w:rFonts w:ascii="Arial" w:cs="Arial" w:eastAsia="Arial" w:hAnsi="Arial"/>
                <w:b w:val="1"/>
                <w:bCs w:val="1"/>
                <w:sz w:val="24"/>
                <w:szCs w:val="24"/>
              </w:rPr>
            </w:pPr>
            <w:r w:rsidDel="00000000" w:rsidR="00000000" w:rsidRPr="00000000">
              <w:rPr>
                <w:rFonts w:ascii="Times New Roman" w:cs="Times New Roman" w:eastAsia="Times New Roman" w:hAnsi="Times New Roman"/>
                <w:sz w:val="24"/>
                <w:szCs w:val="24"/>
              </w:rPr>
              <w:drawing>
                <wp:inline distB="0" distT="0" distL="0" distR="0">
                  <wp:extent cx="2363922" cy="489791"/>
                  <wp:effectExtent b="0" l="0" r="0" t="0"/>
                  <wp:docPr descr="C:\Users\ebienkow\Desktop\WYDZIAŁ FILOZOFII 2020\LOGO WFZ\Logo - materiały\PL\PNG\kolor\logo_PL_kolor_1.png" id="15" name="image3.png"/>
                  <a:graphic>
                    <a:graphicData uri="http://schemas.openxmlformats.org/drawingml/2006/picture">
                      <pic:pic>
                        <pic:nvPicPr>
                          <pic:cNvPr descr="C:\Users\ebienkow\Desktop\WYDZIAŁ FILOZOFII 2020\LOGO WFZ\Logo - materiały\PL\PNG\kolor\logo_PL_kolor_1.png" id="0" name="image3.png"/>
                          <pic:cNvPicPr preferRelativeResize="0"/>
                        </pic:nvPicPr>
                        <pic:blipFill>
                          <a:blip r:embed="rId9"/>
                          <a:srcRect b="0" l="0" r="0" t="0"/>
                          <a:stretch>
                            <a:fillRect/>
                          </a:stretch>
                        </pic:blipFill>
                        <pic:spPr>
                          <a:xfrm>
                            <a:off x="0" y="0"/>
                            <a:ext cx="2363922" cy="489791"/>
                          </a:xfrm>
                          <a:prstGeom prst="rect"/>
                          <a:ln/>
                        </pic:spPr>
                      </pic:pic>
                    </a:graphicData>
                  </a:graphic>
                </wp:inline>
              </w:drawing>
            </w:r>
            <w:r w:rsidDel="00000000" w:rsidR="00000000" w:rsidRPr="00000000">
              <w:rPr>
                <w:rtl w:val="0"/>
              </w:rPr>
            </w:r>
          </w:p>
        </w:tc>
      </w:tr>
      <w:tr>
        <w:trPr>
          <w:cantSplit w:val="0"/>
          <w:trHeight w:val="135" w:hRule="atLeast"/>
          <w:tblHeader w:val="0"/>
        </w:trPr>
        <w:tc>
          <w:tcPr>
            <w:gridSpan w:val="2"/>
          </w:tcPr>
          <w:p w:rsidR="00000000" w:rsidDel="00000000" w:rsidP="00000000" w:rsidRDefault="00000000" w:rsidRPr="00000000" w14:paraId="00000008">
            <w:pPr>
              <w:spacing w:after="120" w:line="276" w:lineRule="auto"/>
              <w:rPr/>
            </w:pPr>
            <w:r w:rsidDel="00000000" w:rsidR="00000000" w:rsidRPr="00000000">
              <w:rPr>
                <w:rtl w:val="0"/>
              </w:rPr>
            </w:r>
          </w:p>
        </w:tc>
        <w:tc>
          <w:tcPr>
            <w:gridSpan w:val="4"/>
          </w:tcPr>
          <w:p w:rsidR="00000000" w:rsidDel="00000000" w:rsidP="00000000" w:rsidRDefault="00000000" w:rsidRPr="00000000" w14:paraId="0000000A">
            <w:pPr>
              <w:spacing w:after="120" w:line="276"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127" w:hRule="atLeast"/>
          <w:tblHeader w:val="0"/>
        </w:trPr>
        <w:tc>
          <w:tcPr>
            <w:gridSpan w:val="6"/>
          </w:tcPr>
          <w:p w:rsidR="00000000" w:rsidDel="00000000" w:rsidP="00000000" w:rsidRDefault="00000000" w:rsidRPr="00000000" w14:paraId="0000000E">
            <w:pPr>
              <w:spacing w:after="120" w:line="276" w:lineRule="auto"/>
              <w:jc w:val="right"/>
              <w:rPr>
                <w:rFonts w:ascii="Arial" w:cs="Arial" w:eastAsia="Arial" w:hAnsi="Arial"/>
                <w:i w:val="1"/>
                <w:iCs w:val="1"/>
                <w:sz w:val="4"/>
                <w:szCs w:val="4"/>
              </w:rPr>
            </w:pPr>
            <w:r w:rsidDel="00000000" w:rsidR="00000000" w:rsidRPr="00000000">
              <w:rPr>
                <w:rtl w:val="0"/>
              </w:rPr>
            </w:r>
          </w:p>
        </w:tc>
      </w:tr>
      <w:tr>
        <w:trPr>
          <w:cantSplit w:val="0"/>
          <w:tblHeader w:val="0"/>
        </w:trPr>
        <w:tc>
          <w:tcPr>
            <w:gridSpan w:val="5"/>
            <w:tcBorders>
              <w:bottom w:color="000000" w:space="0" w:sz="4" w:val="single"/>
            </w:tcBorders>
          </w:tcPr>
          <w:p w:rsidR="00000000" w:rsidDel="00000000" w:rsidP="00000000" w:rsidRDefault="00000000" w:rsidRPr="00000000" w14:paraId="00000014">
            <w:pPr>
              <w:spacing w:line="276" w:lineRule="auto"/>
              <w:jc w:val="center"/>
              <w:rPr>
                <w:rFonts w:ascii="Arial" w:cs="Arial" w:eastAsia="Arial" w:hAnsi="Arial"/>
                <w:b w:val="1"/>
                <w:bCs w:val="1"/>
                <w:color w:val="2f5496"/>
                <w:sz w:val="20"/>
                <w:szCs w:val="20"/>
              </w:rPr>
            </w:pPr>
            <w:r w:rsidDel="00000000" w:rsidR="00000000" w:rsidRPr="00000000">
              <w:rPr>
                <w:rFonts w:ascii="Arial" w:cs="Arial" w:eastAsia="Arial" w:hAnsi="Arial"/>
                <w:b w:val="1"/>
                <w:bCs w:val="1"/>
                <w:color w:val="2f5496"/>
                <w:sz w:val="20"/>
                <w:szCs w:val="20"/>
                <w:rtl w:val="0"/>
              </w:rPr>
              <w:t xml:space="preserve">OPEN CALL FOR A PHD SCHOLARSHIP POSITION</w:t>
            </w:r>
          </w:p>
          <w:p w:rsidR="00000000" w:rsidDel="00000000" w:rsidP="00000000" w:rsidRDefault="00000000" w:rsidRPr="00000000" w14:paraId="00000015">
            <w:pPr>
              <w:spacing w:line="276" w:lineRule="auto"/>
              <w:jc w:val="center"/>
              <w:rPr>
                <w:rFonts w:ascii="Arial" w:cs="Arial" w:eastAsia="Arial" w:hAnsi="Arial"/>
                <w:b w:val="1"/>
                <w:bCs w:val="1"/>
                <w:color w:val="2f5496"/>
                <w:sz w:val="20"/>
                <w:szCs w:val="20"/>
              </w:rPr>
            </w:pPr>
            <w:r w:rsidDel="00000000" w:rsidR="00000000" w:rsidRPr="00000000">
              <w:rPr>
                <w:rtl w:val="0"/>
              </w:rPr>
            </w:r>
          </w:p>
          <w:p w:rsidR="00000000" w:rsidDel="00000000" w:rsidP="00000000" w:rsidRDefault="00000000" w:rsidRPr="00000000" w14:paraId="0000001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in the NCN-funded research project “Structural complexity measures for foundational theories” (in accordance with the Regulations for awarding NCN scholarships  for NCN-funded research projects</w:t>
            </w:r>
            <w:r w:rsidDel="00000000" w:rsidR="00000000" w:rsidRPr="00000000">
              <w:rPr>
                <w:rFonts w:ascii="Arial" w:cs="Arial" w:eastAsia="Arial" w:hAnsi="Arial"/>
                <w:sz w:val="20"/>
                <w:szCs w:val="20"/>
                <w:vertAlign w:val="superscript"/>
              </w:rPr>
              <w:footnoteReference w:customMarkFollows="0" w:id="0"/>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7">
            <w:pPr>
              <w:spacing w:after="12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spacing w:after="120" w:line="276"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Project details: </w:t>
            </w:r>
            <w:r w:rsidDel="00000000" w:rsidR="00000000" w:rsidRPr="00000000">
              <w:rPr>
                <w:rFonts w:ascii="Arial" w:cs="Arial" w:eastAsia="Arial" w:hAnsi="Arial"/>
                <w:sz w:val="20"/>
                <w:szCs w:val="20"/>
                <w:rtl w:val="0"/>
              </w:rPr>
              <w:t xml:space="preserve"> </w:t>
            </w:r>
          </w:p>
          <w:tbl>
            <w:tblPr>
              <w:tblStyle w:val="Table2"/>
              <w:tblW w:w="9529.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268"/>
              <w:gridCol w:w="7261"/>
              <w:tblGridChange w:id="0">
                <w:tblGrid>
                  <w:gridCol w:w="2268"/>
                  <w:gridCol w:w="7261"/>
                </w:tblGrid>
              </w:tblGridChange>
            </w:tblGrid>
            <w:tr>
              <w:trPr>
                <w:cantSplit w:val="0"/>
                <w:tblHeader w:val="0"/>
              </w:trPr>
              <w:tc>
                <w:tcPr>
                  <w:vAlign w:val="center"/>
                </w:tcPr>
                <w:p w:rsidR="00000000" w:rsidDel="00000000" w:rsidP="00000000" w:rsidRDefault="00000000" w:rsidRPr="00000000" w14:paraId="00000019">
                  <w:pPr>
                    <w:spacing w:after="60" w:before="6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Title of the project </w:t>
                  </w:r>
                </w:p>
              </w:tc>
              <w:tc>
                <w:tcPr>
                  <w:vAlign w:val="center"/>
                </w:tcPr>
                <w:p w:rsidR="00000000" w:rsidDel="00000000" w:rsidP="00000000" w:rsidRDefault="00000000" w:rsidRPr="00000000" w14:paraId="0000001A">
                  <w:pPr>
                    <w:spacing w:after="120" w:before="12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Structural complexity measures for foundational theories</w:t>
                  </w:r>
                </w:p>
              </w:tc>
            </w:tr>
            <w:tr>
              <w:trPr>
                <w:cantSplit w:val="0"/>
                <w:tblHeader w:val="0"/>
              </w:trPr>
              <w:tc>
                <w:tcPr>
                  <w:vAlign w:val="center"/>
                </w:tcPr>
                <w:p w:rsidR="00000000" w:rsidDel="00000000" w:rsidP="00000000" w:rsidRDefault="00000000" w:rsidRPr="00000000" w14:paraId="0000001B">
                  <w:pPr>
                    <w:spacing w:after="60" w:before="6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Type of the project </w:t>
                  </w:r>
                </w:p>
              </w:tc>
              <w:tc>
                <w:tcPr>
                  <w:vAlign w:val="center"/>
                </w:tcPr>
                <w:p w:rsidR="00000000" w:rsidDel="00000000" w:rsidP="00000000" w:rsidRDefault="00000000" w:rsidRPr="00000000" w14:paraId="0000001C">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Weave-Unisono</w:t>
                  </w:r>
                </w:p>
              </w:tc>
            </w:tr>
            <w:tr>
              <w:trPr>
                <w:cantSplit w:val="0"/>
                <w:tblHeader w:val="0"/>
              </w:trPr>
              <w:tc>
                <w:tcPr>
                  <w:vAlign w:val="center"/>
                </w:tcPr>
                <w:p w:rsidR="00000000" w:rsidDel="00000000" w:rsidP="00000000" w:rsidRDefault="00000000" w:rsidRPr="00000000" w14:paraId="0000001D">
                  <w:pPr>
                    <w:spacing w:after="60" w:before="6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Funding institution </w:t>
                  </w:r>
                </w:p>
              </w:tc>
              <w:tc>
                <w:tcPr>
                  <w:vAlign w:val="center"/>
                </w:tcPr>
                <w:p w:rsidR="00000000" w:rsidDel="00000000" w:rsidP="00000000" w:rsidRDefault="00000000" w:rsidRPr="00000000" w14:paraId="0000001E">
                  <w:pPr>
                    <w:spacing w:after="120" w:before="12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National Science Centre, Poland </w:t>
                  </w:r>
                </w:p>
              </w:tc>
            </w:tr>
            <w:tr>
              <w:trPr>
                <w:cantSplit w:val="0"/>
                <w:tblHeader w:val="0"/>
              </w:trPr>
              <w:tc>
                <w:tcPr>
                  <w:vAlign w:val="center"/>
                </w:tcPr>
                <w:p w:rsidR="00000000" w:rsidDel="00000000" w:rsidP="00000000" w:rsidRDefault="00000000" w:rsidRPr="00000000" w14:paraId="0000001F">
                  <w:pPr>
                    <w:spacing w:after="60" w:before="6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Duration of the project</w:t>
                  </w:r>
                </w:p>
              </w:tc>
              <w:tc>
                <w:tcPr>
                  <w:vAlign w:val="center"/>
                </w:tcPr>
                <w:p w:rsidR="00000000" w:rsidDel="00000000" w:rsidP="00000000" w:rsidRDefault="00000000" w:rsidRPr="00000000" w14:paraId="00000020">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02.06.2025 - 01.06.2029</w:t>
                  </w:r>
                </w:p>
              </w:tc>
            </w:tr>
            <w:tr>
              <w:trPr>
                <w:cantSplit w:val="0"/>
                <w:tblHeader w:val="0"/>
              </w:trPr>
              <w:tc>
                <w:tcPr>
                  <w:vAlign w:val="center"/>
                </w:tcPr>
                <w:p w:rsidR="00000000" w:rsidDel="00000000" w:rsidP="00000000" w:rsidRDefault="00000000" w:rsidRPr="00000000" w14:paraId="00000021">
                  <w:pPr>
                    <w:spacing w:after="60" w:before="6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Principal Investigator (PI) </w:t>
                  </w:r>
                </w:p>
              </w:tc>
              <w:tc>
                <w:tcPr>
                  <w:vAlign w:val="center"/>
                </w:tcPr>
                <w:p w:rsidR="00000000" w:rsidDel="00000000" w:rsidP="00000000" w:rsidRDefault="00000000" w:rsidRPr="00000000" w14:paraId="00000022">
                  <w:pPr>
                    <w:spacing w:after="120" w:before="12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Mateusz Łełyk, Dino Rossegger</w:t>
                  </w:r>
                </w:p>
              </w:tc>
            </w:tr>
            <w:tr>
              <w:trPr>
                <w:cantSplit w:val="0"/>
                <w:tblHeader w:val="0"/>
              </w:trPr>
              <w:tc>
                <w:tcPr/>
                <w:p w:rsidR="00000000" w:rsidDel="00000000" w:rsidP="00000000" w:rsidRDefault="00000000" w:rsidRPr="00000000" w14:paraId="00000023">
                  <w:pPr>
                    <w:spacing w:after="60" w:before="6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Description of the project </w:t>
                  </w:r>
                </w:p>
              </w:tc>
              <w:tc>
                <w:tcPr>
                  <w:vAlign w:val="center"/>
                </w:tcPr>
                <w:p w:rsidR="00000000" w:rsidDel="00000000" w:rsidP="00000000" w:rsidRDefault="00000000" w:rsidRPr="00000000" w14:paraId="0000002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main goal of the project, co-run with the Technical University of Vienna (TUV)  is to analyze the Scott ranks of models of foundational theories, such as</w:t>
                  </w:r>
                </w:p>
                <w:p w:rsidR="00000000" w:rsidDel="00000000" w:rsidP="00000000" w:rsidRDefault="00000000" w:rsidRPr="00000000" w14:paraId="0000002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 Peano Arithmetic (PA) and its subsystems based on restricted collection and induction schemes. </w:t>
                  </w:r>
                </w:p>
                <w:p w:rsidR="00000000" w:rsidDel="00000000" w:rsidP="00000000" w:rsidRDefault="00000000" w:rsidRPr="00000000" w14:paraId="0000002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Second-Order Arithmetic (Z2) and its subsystems based on restricted comprehension scheme. </w:t>
                  </w:r>
                </w:p>
                <w:p w:rsidR="00000000" w:rsidDel="00000000" w:rsidP="00000000" w:rsidRDefault="00000000" w:rsidRPr="00000000" w14:paraId="0000002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Zermelo-Fraenkel Set Theory (ZF) and its subsystems. </w:t>
                  </w:r>
                </w:p>
                <w:p w:rsidR="00000000" w:rsidDel="00000000" w:rsidP="00000000" w:rsidRDefault="00000000" w:rsidRPr="00000000" w14:paraId="0000002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200" w:line="276" w:lineRule="auto"/>
                    <w:jc w:val="both"/>
                    <w:rPr>
                      <w:rFonts w:ascii="Arial" w:cs="Arial" w:eastAsia="Arial" w:hAnsi="Arial"/>
                      <w:color w:val="222222"/>
                      <w:sz w:val="20"/>
                      <w:szCs w:val="20"/>
                    </w:rPr>
                  </w:pPr>
                  <w:r w:rsidDel="00000000" w:rsidR="00000000" w:rsidRPr="00000000">
                    <w:rPr>
                      <w:rFonts w:ascii="Arial" w:cs="Arial" w:eastAsia="Arial" w:hAnsi="Arial"/>
                      <w:sz w:val="20"/>
                      <w:szCs w:val="20"/>
                      <w:rtl w:val="0"/>
                    </w:rPr>
                    <w:t xml:space="preserve">The Scott rank of the given countable model is the ordinal number that is the complexity of the simplest sentence in the infinitary logic (allowing countable Boolean operations) which uniquely (up to an isomorphism) describes the given model among other countable models. As famously proved by Scott, each countable structure does have a rank. A Scott function for a theory T is a function which given a countable ordinal number 𝛼 as input, returns the number of countable models of T of rank 𝛼.The far-reaching goal of the project is to determine the Scott functions for the above described theories and their completions. Additionally, we aim at determining the general properties of Scott functions. This kind of investigation requires a creative mixture of tools from computability theory, descriptive set-theory, nonstandard models of arithmetic and set theory.  The project was initiated by Montalbán and Rossegger paper “The Structural Complexity of Models of Arithmetic” (</w:t>
                  </w:r>
                  <w:hyperlink r:id="rId10">
                    <w:r w:rsidDel="00000000" w:rsidR="00000000" w:rsidRPr="00000000">
                      <w:rPr>
                        <w:rFonts w:ascii="Arial" w:cs="Arial" w:eastAsia="Arial" w:hAnsi="Arial"/>
                        <w:sz w:val="20"/>
                        <w:szCs w:val="20"/>
                        <w:u w:val="single"/>
                        <w:rtl w:val="0"/>
                      </w:rPr>
                      <w:t xml:space="preserve">https://doi.org/10.1017/jsl.2023.43</w:t>
                    </w:r>
                  </w:hyperlink>
                  <w:r w:rsidDel="00000000" w:rsidR="00000000" w:rsidRPr="00000000">
                    <w:rPr>
                      <w:rFonts w:ascii="Arial" w:cs="Arial" w:eastAsia="Arial" w:hAnsi="Arial"/>
                      <w:sz w:val="20"/>
                      <w:szCs w:val="20"/>
                      <w:rtl w:val="0"/>
                    </w:rPr>
                    <w:t xml:space="preserve">). The preliminary research outcomes are presented in  the paper by Gonzalez, Łełyk, Rossegger and Szlufik “Classifying the Complexity of Models of Arithmetic” (</w:t>
                  </w:r>
                  <w:hyperlink r:id="rId11">
                    <w:r w:rsidDel="00000000" w:rsidR="00000000" w:rsidRPr="00000000">
                      <w:rPr>
                        <w:rFonts w:ascii="Arial" w:cs="Arial" w:eastAsia="Arial" w:hAnsi="Arial"/>
                        <w:sz w:val="20"/>
                        <w:szCs w:val="20"/>
                        <w:u w:val="single"/>
                        <w:rtl w:val="0"/>
                      </w:rPr>
                      <w:t xml:space="preserve">https://arxiv.org/abs/2507.12025</w:t>
                    </w:r>
                  </w:hyperlink>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222222"/>
                      <w:sz w:val="20"/>
                      <w:szCs w:val="20"/>
                      <w:rtl w:val="0"/>
                    </w:rPr>
                    <w:t xml:space="preserve"> </w:t>
                  </w:r>
                </w:p>
                <w:p w:rsidR="00000000" w:rsidDel="00000000" w:rsidP="00000000" w:rsidRDefault="00000000" w:rsidRPr="00000000" w14:paraId="00000029">
                  <w:pP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before="60" w:line="276"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A">
                  <w:pPr>
                    <w:spacing w:after="60" w:before="6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Keywords   </w:t>
                  </w:r>
                </w:p>
              </w:tc>
              <w:tc>
                <w:tcPr>
                  <w:vAlign w:val="center"/>
                </w:tcPr>
                <w:p w:rsidR="00000000" w:rsidDel="00000000" w:rsidP="00000000" w:rsidRDefault="00000000" w:rsidRPr="00000000" w14:paraId="0000002B">
                  <w:pPr>
                    <w:spacing w:after="0" w:before="6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Scott rank, computable structure theory, nonstandard models of arithmetic and set theory</w:t>
                  </w:r>
                </w:p>
              </w:tc>
            </w:tr>
          </w:tbl>
          <w:p w:rsidR="00000000" w:rsidDel="00000000" w:rsidP="00000000" w:rsidRDefault="00000000" w:rsidRPr="00000000" w14:paraId="0000002C">
            <w:pPr>
              <w:spacing w:after="12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spacing w:after="120" w:line="276" w:lineRule="auto"/>
              <w:ind w:right="372"/>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Position details: </w:t>
            </w:r>
          </w:p>
        </w:tc>
      </w:tr>
      <w:tr>
        <w:trPr>
          <w:cantSplit w:val="0"/>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32">
            <w:pPr>
              <w:spacing w:after="60" w:before="6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Position title </w:t>
            </w:r>
          </w:p>
        </w:tc>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3">
            <w:pPr>
              <w:spacing w:after="60" w:before="6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PhD student – scholarship holder </w:t>
            </w:r>
          </w:p>
        </w:tc>
      </w:tr>
      <w:tr>
        <w:trPr>
          <w:cantSplit w:val="0"/>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38">
            <w:pPr>
              <w:spacing w:after="60" w:before="60" w:line="276" w:lineRule="auto"/>
              <w:ind w:right="454"/>
              <w:rPr>
                <w:rFonts w:ascii="Arial" w:cs="Arial" w:eastAsia="Arial" w:hAnsi="Arial"/>
                <w:sz w:val="20"/>
                <w:szCs w:val="20"/>
              </w:rPr>
            </w:pPr>
            <w:r w:rsidDel="00000000" w:rsidR="00000000" w:rsidRPr="00000000">
              <w:rPr>
                <w:rFonts w:ascii="Arial" w:cs="Arial" w:eastAsia="Arial" w:hAnsi="Arial"/>
                <w:sz w:val="20"/>
                <w:szCs w:val="20"/>
                <w:rtl w:val="0"/>
              </w:rPr>
              <w:t xml:space="preserve">Organizational unit </w:t>
            </w:r>
          </w:p>
        </w:tc>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9">
            <w:pPr>
              <w:spacing w:after="60" w:before="6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Faculty of Philosophy, University of Warsaw; https://filozofia.uw.edu.pl</w:t>
            </w:r>
          </w:p>
        </w:tc>
      </w:tr>
      <w:tr>
        <w:trPr>
          <w:cantSplit w:val="0"/>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3E">
            <w:pPr>
              <w:spacing w:after="60" w:before="6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Number of positions </w:t>
            </w:r>
          </w:p>
        </w:tc>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F">
            <w:pPr>
              <w:spacing w:after="60" w:before="6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r>
      <w:tr>
        <w:trPr>
          <w:cantSplit w:val="0"/>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44">
            <w:pPr>
              <w:spacing w:after="60" w:before="6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Legal format                     </w:t>
            </w:r>
          </w:p>
        </w:tc>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5">
            <w:pPr>
              <w:spacing w:after="60" w:before="6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Scholarship agreement </w:t>
            </w:r>
          </w:p>
        </w:tc>
      </w:tr>
      <w:tr>
        <w:trPr>
          <w:cantSplit w:val="0"/>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4A">
            <w:pPr>
              <w:spacing w:after="60" w:before="6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Expected date of commencement of scholarship agreement and its duration </w:t>
            </w:r>
          </w:p>
        </w:tc>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B">
            <w:pPr>
              <w:spacing w:after="60" w:before="6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03.2026, 48 months (the start of the scholarship can be delayed to 09.2026, if needed)</w:t>
            </w:r>
          </w:p>
          <w:p w:rsidR="00000000" w:rsidDel="00000000" w:rsidP="00000000" w:rsidRDefault="00000000" w:rsidRPr="00000000" w14:paraId="0000004C">
            <w:pPr>
              <w:spacing w:after="60" w:before="60" w:line="276"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51">
            <w:pPr>
              <w:spacing w:after="60" w:before="6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Scholarship amount </w:t>
            </w:r>
          </w:p>
        </w:tc>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52">
            <w:pPr>
              <w:spacing w:after="60" w:before="6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PLN 5,000 per month (tax free)  </w:t>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57">
            <w:pPr>
              <w:spacing w:after="120" w:before="6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Other conditions of scholarship agreement </w:t>
            </w:r>
          </w:p>
        </w:tc>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58">
            <w:pPr>
              <w:numPr>
                <w:ilvl w:val="0"/>
                <w:numId w:val="1"/>
              </w:numPr>
              <w:spacing w:line="276" w:lineRule="auto"/>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Possibility to work partially remotely.  </w:t>
            </w:r>
            <w:r w:rsidDel="00000000" w:rsidR="00000000" w:rsidRPr="00000000">
              <w:rPr>
                <w:rtl w:val="0"/>
              </w:rPr>
            </w:r>
          </w:p>
          <w:p w:rsidR="00000000" w:rsidDel="00000000" w:rsidP="00000000" w:rsidRDefault="00000000" w:rsidRPr="00000000" w14:paraId="00000059">
            <w:pPr>
              <w:numPr>
                <w:ilvl w:val="0"/>
                <w:numId w:val="1"/>
              </w:numPr>
              <w:spacing w:line="276" w:lineRule="auto"/>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Funds to attend scientific conferences and purchase specialized scientific literature.  </w:t>
            </w:r>
            <w:r w:rsidDel="00000000" w:rsidR="00000000" w:rsidRPr="00000000">
              <w:rPr>
                <w:rtl w:val="0"/>
              </w:rPr>
            </w:r>
          </w:p>
          <w:p w:rsidR="00000000" w:rsidDel="00000000" w:rsidP="00000000" w:rsidRDefault="00000000" w:rsidRPr="00000000" w14:paraId="0000005A">
            <w:pPr>
              <w:numPr>
                <w:ilvl w:val="0"/>
                <w:numId w:val="1"/>
              </w:numPr>
              <w:spacing w:line="276" w:lineRule="auto"/>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Professional administrative support for conducting research and disseminating its results. </w:t>
            </w:r>
            <w:r w:rsidDel="00000000" w:rsidR="00000000" w:rsidRPr="00000000">
              <w:rPr>
                <w:rtl w:val="0"/>
              </w:rPr>
            </w:r>
          </w:p>
          <w:p w:rsidR="00000000" w:rsidDel="00000000" w:rsidP="00000000" w:rsidRDefault="00000000" w:rsidRPr="00000000" w14:paraId="0000005B">
            <w:pPr>
              <w:numPr>
                <w:ilvl w:val="0"/>
                <w:numId w:val="1"/>
              </w:numPr>
              <w:spacing w:line="276" w:lineRule="auto"/>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Participation in an active and interdisciplinary research team closely collaborating with the Technical University of Vienna. </w:t>
            </w:r>
            <w:r w:rsidDel="00000000" w:rsidR="00000000" w:rsidRPr="00000000">
              <w:rPr>
                <w:rtl w:val="0"/>
              </w:rPr>
            </w:r>
          </w:p>
          <w:p w:rsidR="00000000" w:rsidDel="00000000" w:rsidP="00000000" w:rsidRDefault="00000000" w:rsidRPr="00000000" w14:paraId="0000005C">
            <w:pPr>
              <w:spacing w:line="276" w:lineRule="auto"/>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D">
            <w:pPr>
              <w:spacing w:line="276"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Important notice:</w:t>
            </w:r>
            <w:r w:rsidDel="00000000" w:rsidR="00000000" w:rsidRPr="00000000">
              <w:rPr>
                <w:rFonts w:ascii="Arial" w:cs="Arial" w:eastAsia="Arial" w:hAnsi="Arial"/>
                <w:sz w:val="20"/>
                <w:szCs w:val="20"/>
                <w:rtl w:val="0"/>
              </w:rPr>
              <w:t xml:space="preserve">  NCN scholarships may be combined with other scholarships and/or remuneration funded by the NCN from the funds allocated for more than one research project, provided that the total amount of scholarships and remuneration does not exceed PLN 5,000 per month. </w:t>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62">
            <w:pPr>
              <w:spacing w:after="120" w:before="6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Basic responsibilities and duties</w:t>
            </w:r>
          </w:p>
        </w:tc>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3">
            <w:pPr>
              <w:numPr>
                <w:ilvl w:val="0"/>
                <w:numId w:val="3"/>
              </w:numPr>
              <w:spacing w:after="60" w:before="0" w:line="276"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Completing assigned research tasks in a timely and accurate manner according to the work plan agreed upon with the Principal Investigator.   </w:t>
            </w:r>
            <w:r w:rsidDel="00000000" w:rsidR="00000000" w:rsidRPr="00000000">
              <w:rPr>
                <w:rtl w:val="0"/>
              </w:rPr>
            </w:r>
          </w:p>
          <w:p w:rsidR="00000000" w:rsidDel="00000000" w:rsidP="00000000" w:rsidRDefault="00000000" w:rsidRPr="00000000" w14:paraId="00000064">
            <w:pPr>
              <w:numPr>
                <w:ilvl w:val="0"/>
                <w:numId w:val="3"/>
              </w:numPr>
              <w:spacing w:after="60" w:before="0" w:line="276"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Participate regularly and actively in research team meetings. </w:t>
            </w:r>
            <w:r w:rsidDel="00000000" w:rsidR="00000000" w:rsidRPr="00000000">
              <w:rPr>
                <w:rtl w:val="0"/>
              </w:rPr>
            </w:r>
          </w:p>
          <w:p w:rsidR="00000000" w:rsidDel="00000000" w:rsidP="00000000" w:rsidRDefault="00000000" w:rsidRPr="00000000" w14:paraId="00000065">
            <w:pPr>
              <w:numPr>
                <w:ilvl w:val="0"/>
                <w:numId w:val="3"/>
              </w:numPr>
              <w:spacing w:after="60" w:before="0" w:line="276"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 Publication of research results in recognized international scientific journals and books/volumes. </w:t>
            </w:r>
            <w:r w:rsidDel="00000000" w:rsidR="00000000" w:rsidRPr="00000000">
              <w:rPr>
                <w:rtl w:val="0"/>
              </w:rPr>
            </w:r>
          </w:p>
          <w:p w:rsidR="00000000" w:rsidDel="00000000" w:rsidP="00000000" w:rsidRDefault="00000000" w:rsidRPr="00000000" w14:paraId="00000066">
            <w:pPr>
              <w:numPr>
                <w:ilvl w:val="0"/>
                <w:numId w:val="3"/>
              </w:numPr>
              <w:spacing w:after="60" w:before="0" w:line="276"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Presentation of research results at major international and national conferences and scientific seminars. </w:t>
            </w:r>
            <w:r w:rsidDel="00000000" w:rsidR="00000000" w:rsidRPr="00000000">
              <w:rPr>
                <w:rtl w:val="0"/>
              </w:rPr>
            </w:r>
          </w:p>
          <w:p w:rsidR="00000000" w:rsidDel="00000000" w:rsidP="00000000" w:rsidRDefault="00000000" w:rsidRPr="00000000" w14:paraId="00000067">
            <w:pPr>
              <w:spacing w:after="60" w:before="0" w:line="276"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8">
            <w:pPr>
              <w:spacing w:after="60" w:before="0"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scholarship does not involve any teaching duties, but those who are willing will have the opportunity to gain such experience. </w:t>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6D">
            <w:pPr>
              <w:spacing w:after="60" w:before="6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Formal requirements </w:t>
            </w:r>
          </w:p>
        </w:tc>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The call is open to persons who do not hold a PhD degree and who will meet all of the following requirements before the start of the scholarship:  </w:t>
            </w:r>
          </w:p>
          <w:p w:rsidR="00000000" w:rsidDel="00000000" w:rsidP="00000000" w:rsidRDefault="00000000" w:rsidRPr="00000000" w14:paraId="0000006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are enrolled in a doctoral programme or are PhD students at a doctoral school as defined in §3 (3) of the Regulations for awarding of NCN scholarships for NCN funded research projects;   </w:t>
            </w:r>
            <w:r w:rsidDel="00000000" w:rsidR="00000000" w:rsidRPr="00000000">
              <w:rPr>
                <w:rtl w:val="0"/>
              </w:rPr>
            </w:r>
          </w:p>
          <w:p w:rsidR="00000000" w:rsidDel="00000000" w:rsidP="00000000" w:rsidRDefault="00000000" w:rsidRPr="00000000" w14:paraId="0000007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have a Master's degree in philosophy, mathematics or a Master's degree in another field related to the topic of the project, </w:t>
            </w:r>
            <w:r w:rsidDel="00000000" w:rsidR="00000000" w:rsidRPr="00000000">
              <w:rPr>
                <w:rtl w:val="0"/>
              </w:rPr>
            </w:r>
          </w:p>
          <w:p w:rsidR="00000000" w:rsidDel="00000000" w:rsidP="00000000" w:rsidRDefault="00000000" w:rsidRPr="00000000" w14:paraId="0000007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have an advanced level of English both in speaking and writing, corresponding at least to a C1 level in the </w:t>
            </w:r>
            <w:r w:rsidDel="00000000" w:rsidR="00000000" w:rsidRPr="00000000">
              <w:rPr>
                <w:rFonts w:ascii="Arial" w:cs="Arial" w:eastAsia="Arial" w:hAnsi="Arial"/>
                <w:color w:val="0a0a0a"/>
                <w:sz w:val="20"/>
                <w:szCs w:val="20"/>
                <w:highlight w:val="white"/>
                <w:rtl w:val="0"/>
              </w:rPr>
              <w:t xml:space="preserve">Common European Framework of Reference for Languages.</w:t>
            </w: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76">
            <w:pPr>
              <w:spacing w:after="120" w:before="6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Required competences</w:t>
            </w:r>
          </w:p>
        </w:tc>
        <w:tc>
          <w:tcPr>
            <w:gridSpan w:val="3"/>
            <w:tcBorders>
              <w:top w:color="000000" w:space="0" w:sz="4" w:val="single"/>
              <w:left w:color="000000" w:space="0" w:sz="4" w:val="single"/>
              <w:bottom w:color="000000" w:space="0" w:sz="4" w:val="single"/>
            </w:tcBorders>
          </w:tcPr>
          <w:p w:rsidR="00000000" w:rsidDel="00000000" w:rsidP="00000000" w:rsidRDefault="00000000" w:rsidRPr="00000000" w14:paraId="0000007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76" w:lineRule="auto"/>
              <w:ind w:left="272" w:right="0" w:hanging="27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Solid background (confirmed e.g. by grades from university courses, recommendation letters or publications) in mathematical logic.</w:t>
            </w:r>
            <w:r w:rsidDel="00000000" w:rsidR="00000000" w:rsidRPr="00000000">
              <w:rPr>
                <w:rtl w:val="0"/>
              </w:rPr>
            </w:r>
          </w:p>
          <w:p w:rsidR="00000000" w:rsidDel="00000000" w:rsidP="00000000" w:rsidRDefault="00000000" w:rsidRPr="00000000" w14:paraId="0000007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76" w:lineRule="auto"/>
              <w:ind w:left="272" w:right="0" w:hanging="272"/>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Good problem-solving skills</w:t>
            </w: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7B">
            <w:pPr>
              <w:spacing w:before="6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Criteria for the assessment of candidates </w:t>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7C">
            <w:pPr>
              <w:spacing w:before="6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Candidates will be evaluated according to the criteria specified in §3 section 12 of the Regulations for awarding of NCN scholarships for NCN-funded research projects. The winner of the competition is the person who has obtained the highest number of points, but not less than 60% of the maximum number of points. </w:t>
            </w:r>
          </w:p>
        </w:tc>
      </w:tr>
      <w:tr>
        <w:trPr>
          <w:cantSplit w:val="0"/>
          <w:tblHeader w:val="0"/>
        </w:trPr>
        <w:tc>
          <w:tcPr>
            <w:gridSpan w:val="6"/>
            <w:tcBorders>
              <w:top w:color="000000" w:space="0" w:sz="4" w:val="single"/>
              <w:bottom w:color="000000" w:space="0" w:sz="4" w:val="single"/>
            </w:tcBorders>
          </w:tcPr>
          <w:p w:rsidR="00000000" w:rsidDel="00000000" w:rsidP="00000000" w:rsidRDefault="00000000" w:rsidRPr="00000000" w14:paraId="00000081">
            <w:pPr>
              <w:spacing w:after="120" w:before="120" w:line="276"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The position is not related to activities covered by the protection of minors. </w:t>
            </w:r>
            <w:r w:rsidDel="00000000" w:rsidR="00000000" w:rsidRPr="00000000">
              <w:rPr>
                <w:rtl w:val="0"/>
              </w:rPr>
            </w:r>
          </w:p>
        </w:tc>
      </w:tr>
      <w:tr>
        <w:trPr>
          <w:cantSplit w:val="0"/>
          <w:tblHeader w:val="0"/>
        </w:trPr>
        <w:tc>
          <w:tcPr>
            <w:gridSpan w:val="2"/>
            <w:tcBorders>
              <w:bottom w:color="000000" w:space="0" w:sz="4" w:val="single"/>
            </w:tcBorders>
          </w:tcPr>
          <w:p w:rsidR="00000000" w:rsidDel="00000000" w:rsidP="00000000" w:rsidRDefault="00000000" w:rsidRPr="00000000" w14:paraId="00000087">
            <w:pPr>
              <w:spacing w:after="12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8">
            <w:pPr>
              <w:spacing w:after="12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Recruitment procedure: </w:t>
            </w:r>
          </w:p>
        </w:tc>
        <w:tc>
          <w:tcPr>
            <w:gridSpan w:val="4"/>
            <w:tcBorders>
              <w:bottom w:color="000000" w:space="0" w:sz="4" w:val="single"/>
            </w:tcBorders>
          </w:tcPr>
          <w:p w:rsidR="00000000" w:rsidDel="00000000" w:rsidP="00000000" w:rsidRDefault="00000000" w:rsidRPr="00000000" w14:paraId="0000008A">
            <w:pPr>
              <w:spacing w:after="120" w:line="276" w:lineRule="auto"/>
              <w:rPr>
                <w:rFonts w:ascii="Arial" w:cs="Arial" w:eastAsia="Arial" w:hAnsi="Arial"/>
                <w:b w:val="1"/>
                <w:bCs w:val="1"/>
                <w:sz w:val="20"/>
                <w:szCs w:val="20"/>
              </w:rPr>
            </w:pPr>
            <w:r w:rsidDel="00000000" w:rsidR="00000000" w:rsidRPr="00000000">
              <w:rPr>
                <w:rtl w:val="0"/>
              </w:rPr>
            </w:r>
          </w:p>
        </w:tc>
      </w:tr>
      <w:tr>
        <w:trPr>
          <w:cantSplit w:val="0"/>
          <w:trHeight w:val="520"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8E">
            <w:pPr>
              <w:spacing w:after="60" w:before="6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Deadline for submitting applications </w:t>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8F">
            <w:pPr>
              <w:spacing w:after="60" w:before="60" w:line="276" w:lineRule="auto"/>
              <w:rPr>
                <w:rFonts w:ascii="Arial" w:cs="Arial" w:eastAsia="Arial" w:hAnsi="Arial"/>
                <w:i w:val="1"/>
                <w:iCs w:val="1"/>
                <w:sz w:val="20"/>
                <w:szCs w:val="20"/>
              </w:rPr>
            </w:pPr>
            <w:r w:rsidDel="00000000" w:rsidR="00000000" w:rsidRPr="00000000">
              <w:rPr>
                <w:rFonts w:ascii="Arial" w:cs="Arial" w:eastAsia="Arial" w:hAnsi="Arial"/>
                <w:b w:val="1"/>
                <w:bCs w:val="1"/>
                <w:sz w:val="20"/>
                <w:szCs w:val="20"/>
                <w:rtl w:val="0"/>
              </w:rPr>
              <w:t xml:space="preserve">The application deadline is Feb 19, 2026 (Thursday, 11:59 p.m.).</w:t>
            </w:r>
            <w:r w:rsidDel="00000000" w:rsidR="00000000" w:rsidRPr="00000000">
              <w:rPr>
                <w:rFonts w:ascii="Arial" w:cs="Arial" w:eastAsia="Arial" w:hAnsi="Arial"/>
                <w:i w:val="1"/>
                <w:iCs w:val="1"/>
                <w:sz w:val="20"/>
                <w:szCs w:val="20"/>
                <w:rtl w:val="0"/>
              </w:rPr>
              <w:t xml:space="preserve"> </w:t>
            </w:r>
          </w:p>
          <w:p w:rsidR="00000000" w:rsidDel="00000000" w:rsidP="00000000" w:rsidRDefault="00000000" w:rsidRPr="00000000" w14:paraId="00000090">
            <w:pPr>
              <w:spacing w:after="60" w:before="60" w:line="276" w:lineRule="auto"/>
              <w:rPr>
                <w:rFonts w:ascii="Arial" w:cs="Arial" w:eastAsia="Arial" w:hAnsi="Arial"/>
                <w:b w:val="1"/>
                <w:bCs w:val="1"/>
                <w:sz w:val="20"/>
                <w:szCs w:val="20"/>
              </w:rPr>
            </w:pPr>
            <w:r w:rsidDel="00000000" w:rsidR="00000000" w:rsidRPr="00000000">
              <w:rPr>
                <w:rFonts w:ascii="Arial" w:cs="Arial" w:eastAsia="Arial" w:hAnsi="Arial"/>
                <w:i w:val="1"/>
                <w:iCs w:val="1"/>
                <w:sz w:val="20"/>
                <w:szCs w:val="20"/>
                <w:rtl w:val="0"/>
              </w:rPr>
              <w:t xml:space="preserve">Only complete and timely applications will be considered.  </w:t>
            </w: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95">
            <w:pPr>
              <w:spacing w:after="60" w:before="6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Method of submitting  an application </w:t>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96">
            <w:pPr>
              <w:spacing w:after="60" w:before="6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All application documents should be sent in electronic form as PDF files to the Principal Investigator, Dr. Mateusz Łełyk:</w:t>
            </w:r>
            <w:r w:rsidDel="00000000" w:rsidR="00000000" w:rsidRPr="00000000">
              <w:rPr>
                <w:rFonts w:ascii="Arial" w:cs="Arial" w:eastAsia="Arial" w:hAnsi="Arial"/>
                <w:b w:val="1"/>
                <w:bCs w:val="1"/>
                <w:sz w:val="20"/>
                <w:szCs w:val="20"/>
                <w:rtl w:val="0"/>
              </w:rPr>
              <w:t xml:space="preserve"> mlelyk@uw.edu.pl</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97">
            <w:pPr>
              <w:spacing w:after="60" w:before="6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the subject line of the email, please write:  "NCN PhD - ......[candidate’s surname]". </w:t>
            </w:r>
          </w:p>
          <w:p w:rsidR="00000000" w:rsidDel="00000000" w:rsidP="00000000" w:rsidRDefault="00000000" w:rsidRPr="00000000" w14:paraId="00000098">
            <w:pPr>
              <w:spacing w:after="60" w:before="6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the body of the email, please include the following statement: "I declare that all the information provided in the application documents is true". </w:t>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9D">
            <w:pPr>
              <w:spacing w:after="60" w:before="6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Required documents</w:t>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9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Candidate’s questionnaire (Attachment no. 1 to the call - Link). </w:t>
            </w:r>
          </w:p>
          <w:p w:rsidR="00000000" w:rsidDel="00000000" w:rsidP="00000000" w:rsidRDefault="00000000" w:rsidRPr="00000000" w14:paraId="0000009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Information on the processing of personal data (Attachment no. 2 to the call - Link).  </w:t>
            </w:r>
          </w:p>
          <w:p w:rsidR="00000000" w:rsidDel="00000000" w:rsidP="00000000" w:rsidRDefault="00000000" w:rsidRPr="00000000" w14:paraId="000000A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Consent to the processing of personal data (Attachment no. 3 to the call - Link). </w:t>
            </w:r>
          </w:p>
          <w:p w:rsidR="00000000" w:rsidDel="00000000" w:rsidP="00000000" w:rsidRDefault="00000000" w:rsidRPr="00000000" w14:paraId="000000A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 Scan of a document certifying the status of a doctoral student. </w:t>
            </w:r>
          </w:p>
          <w:p w:rsidR="00000000" w:rsidDel="00000000" w:rsidP="00000000" w:rsidRDefault="00000000" w:rsidRPr="00000000" w14:paraId="000000A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Scan of a diploma(a) of first- and/or second-cycle studies.</w:t>
            </w:r>
          </w:p>
          <w:p w:rsidR="00000000" w:rsidDel="00000000" w:rsidP="00000000" w:rsidRDefault="00000000" w:rsidRPr="00000000" w14:paraId="000000A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6. A scan of document(s) confirming an advanced command of English                               (e.g., certificates), if available. </w:t>
            </w:r>
          </w:p>
          <w:p w:rsidR="00000000" w:rsidDel="00000000" w:rsidP="00000000" w:rsidRDefault="00000000" w:rsidRPr="00000000" w14:paraId="000000A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 A list of completed academic courses related to the topic of the project (mathematical logic, set theory, descriptive set theory, computability theory, model theory etc.) together with obtained grades.</w:t>
            </w:r>
          </w:p>
          <w:p w:rsidR="00000000" w:rsidDel="00000000" w:rsidP="00000000" w:rsidRDefault="00000000" w:rsidRPr="00000000" w14:paraId="000000A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 A cover letter addressed to the Principal Investigator, Dr. Mateusz Łełyk. </w:t>
            </w:r>
          </w:p>
          <w:p w:rsidR="00000000" w:rsidDel="00000000" w:rsidP="00000000" w:rsidRDefault="00000000" w:rsidRPr="00000000" w14:paraId="000000A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9. A sample of academic writing, preferably in English, of no more than 20,000 characters. </w:t>
            </w:r>
          </w:p>
          <w:p w:rsidR="00000000" w:rsidDel="00000000" w:rsidP="00000000" w:rsidRDefault="00000000" w:rsidRPr="00000000" w14:paraId="000000A7">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8">
            <w:pPr>
              <w:spacing w:line="276" w:lineRule="auto"/>
              <w:rPr>
                <w:rFonts w:ascii="Arial" w:cs="Arial" w:eastAsia="Arial" w:hAnsi="Arial"/>
                <w:i w:val="1"/>
                <w:iCs w:val="1"/>
                <w:color w:val="1155cc"/>
                <w:sz w:val="20"/>
                <w:szCs w:val="20"/>
              </w:rPr>
            </w:pPr>
            <w:r w:rsidDel="00000000" w:rsidR="00000000" w:rsidRPr="00000000">
              <w:rPr>
                <w:rFonts w:ascii="Arial" w:cs="Arial" w:eastAsia="Arial" w:hAnsi="Arial"/>
                <w:i w:val="1"/>
                <w:iCs w:val="1"/>
                <w:color w:val="1155cc"/>
                <w:sz w:val="20"/>
                <w:szCs w:val="20"/>
                <w:rtl w:val="0"/>
              </w:rPr>
              <w:t xml:space="preserve">Please do not attach any documents other than those listed above. The selection committee reserves the right to ask the candidate to provide additional explanation or documentation to support the information provided in the application.</w:t>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AD">
            <w:pPr>
              <w:spacing w:after="120" w:before="6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Recruitment process   </w:t>
            </w:r>
          </w:p>
          <w:p w:rsidR="00000000" w:rsidDel="00000000" w:rsidP="00000000" w:rsidRDefault="00000000" w:rsidRPr="00000000" w14:paraId="000000AE">
            <w:pPr>
              <w:spacing w:after="120" w:before="120" w:line="276" w:lineRule="auto"/>
              <w:rPr>
                <w:rFonts w:ascii="Arial" w:cs="Arial" w:eastAsia="Arial" w:hAnsi="Arial"/>
                <w:sz w:val="20"/>
                <w:szCs w:val="20"/>
              </w:rPr>
            </w:pPr>
            <w:r w:rsidDel="00000000" w:rsidR="00000000" w:rsidRPr="00000000">
              <w:rPr>
                <w:rtl w:val="0"/>
              </w:rPr>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AF">
            <w:pPr>
              <w:spacing w:before="6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recruitment process is conducted by a committee chaired by the Principal Investigator, Dr. Mateusz Łełyk. The process consists of three stages. The first stage is the formal evaluation of the application. Only those candidates who have submitted a complete set of documents by the deadline and meet the formal requirements will be admitted to the next stage of the process. In the second stage, the committee will make a preliminary assessment of the candidates on the basis of the documents submitted. The highest scoring candidates will be invited for an interview, which is the third stage of the process. Interviews will be conducted remotely (via Google Meet or Zoom, using UW licenses) during the second half of February. Interviews will be conducted in Polish and English. For candidates who do not speak Polish, the interviews will be conducted entirely in English. The candidate will receive an invitation to the interview by e-mail at least 5 days before the proposed date. If a candidate is unable to attend the interview on the scheduled date for compelling reasons, the chair of the committee will reschedule the interview. Failure to appear on the scheduled date will result in the candidate being disqualified from further consideration. After the interviews, the committee will make a final assessment of the candidates based on the information obtained throughout the recruitment process.  The committee reserves the right to declare the call void if none of the candidates meets the formal requirements or receives more than 60% of the points. The committee reserves the right to offer the position to the next person on the ranking list if the selected candidate does not confirm his or her willingness to sign a scholarship agreement within the specified time period or refuses to accept the scholarship. The committee also reserves the right to offer the position to the next person on the list without announcing a new call if the previously signed scholarship agreement is terminated or not renewed. Individuals with disabilities or special needs may indicate their accessibility needs in the application process in the Candidate Questionnaire (Appendix 1), "Other Important Information" section.</w:t>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B4">
            <w:pPr>
              <w:spacing w:before="6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Anticipated date and method of notification  of the results </w:t>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B5">
            <w:pPr>
              <w:spacing w:after="60" w:line="276"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The competition will be resolved by February 28, 2026. </w:t>
            </w:r>
          </w:p>
          <w:p w:rsidR="00000000" w:rsidDel="00000000" w:rsidP="00000000" w:rsidRDefault="00000000" w:rsidRPr="00000000" w14:paraId="000000B6">
            <w:pPr>
              <w:spacing w:after="6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Candidates will be informed of the results of the call by email.  </w:t>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BB">
            <w:pPr>
              <w:spacing w:before="6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Contact for any questions relating to  the call </w:t>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BC">
            <w:pPr>
              <w:spacing w:before="6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additional information regarding the call, please contact the Principal Investigator Dr. Mateusz Łełyk (mlelyk@uw.edu.pl). Please include the following in the subject line of your email: “NCN PhD”. </w:t>
            </w:r>
          </w:p>
          <w:p w:rsidR="00000000" w:rsidDel="00000000" w:rsidP="00000000" w:rsidRDefault="00000000" w:rsidRPr="00000000" w14:paraId="000000BD">
            <w:pPr>
              <w:spacing w:before="60" w:line="276" w:lineRule="auto"/>
              <w:rPr>
                <w:rFonts w:ascii="Arial" w:cs="Arial" w:eastAsia="Arial" w:hAnsi="Arial"/>
                <w:sz w:val="20"/>
                <w:szCs w:val="20"/>
              </w:rPr>
            </w:pPr>
            <w:bookmarkStart w:colFirst="0" w:colLast="0" w:name="_heading=h.10ve97njalfp" w:id="0"/>
            <w:bookmarkEnd w:id="0"/>
            <w:r w:rsidDel="00000000" w:rsidR="00000000" w:rsidRPr="00000000">
              <w:rPr>
                <w:rtl w:val="0"/>
              </w:rPr>
            </w:r>
          </w:p>
        </w:tc>
      </w:tr>
      <w:tr>
        <w:trPr>
          <w:cantSplit w:val="0"/>
          <w:tblHeader w:val="0"/>
        </w:trPr>
        <w:tc>
          <w:tcPr>
            <w:gridSpan w:val="3"/>
            <w:tcBorders>
              <w:top w:color="000000" w:space="0" w:sz="4" w:val="single"/>
            </w:tcBorders>
          </w:tcPr>
          <w:p w:rsidR="00000000" w:rsidDel="00000000" w:rsidP="00000000" w:rsidRDefault="00000000" w:rsidRPr="00000000" w14:paraId="000000C2">
            <w:pPr>
              <w:spacing w:after="120" w:line="276" w:lineRule="auto"/>
              <w:jc w:val="both"/>
              <w:rPr>
                <w:rFonts w:ascii="Arial" w:cs="Arial" w:eastAsia="Arial" w:hAnsi="Arial"/>
                <w:i w:val="1"/>
                <w:iCs w:val="1"/>
                <w:color w:val="0563c1"/>
                <w:sz w:val="20"/>
                <w:szCs w:val="20"/>
                <w:u w:val="single"/>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C5">
            <w:pPr>
              <w:tabs>
                <w:tab w:val="left" w:leader="none" w:pos="1134"/>
              </w:tabs>
              <w:spacing w:after="120" w:before="120" w:line="276" w:lineRule="auto"/>
              <w:rPr>
                <w:rFonts w:ascii="Arial" w:cs="Arial" w:eastAsia="Arial" w:hAnsi="Arial"/>
                <w:sz w:val="14"/>
                <w:szCs w:val="14"/>
              </w:rPr>
            </w:pPr>
            <w:r w:rsidDel="00000000" w:rsidR="00000000" w:rsidRPr="00000000">
              <w:rPr>
                <w:rtl w:val="0"/>
              </w:rPr>
            </w:r>
          </w:p>
          <w:p w:rsidR="00000000" w:rsidDel="00000000" w:rsidP="00000000" w:rsidRDefault="00000000" w:rsidRPr="00000000" w14:paraId="000000C6">
            <w:pPr>
              <w:tabs>
                <w:tab w:val="left" w:leader="none" w:pos="1134"/>
              </w:tabs>
              <w:spacing w:after="120" w:before="120" w:line="276" w:lineRule="auto"/>
              <w:rPr>
                <w:rFonts w:ascii="Arial" w:cs="Arial" w:eastAsia="Arial" w:hAnsi="Arial"/>
                <w:sz w:val="14"/>
                <w:szCs w:val="1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4772025</wp:posOffset>
                  </wp:positionH>
                  <wp:positionV relativeFrom="paragraph">
                    <wp:posOffset>9525</wp:posOffset>
                  </wp:positionV>
                  <wp:extent cx="1151890" cy="781050"/>
                  <wp:effectExtent b="0" l="0" r="0" t="0"/>
                  <wp:wrapSquare wrapText="bothSides" distB="0" distT="0" distL="114300" distR="114300"/>
                  <wp:docPr id="13"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151890" cy="781050"/>
                          </a:xfrm>
                          <a:prstGeom prst="rect"/>
                          <a:ln/>
                        </pic:spPr>
                      </pic:pic>
                    </a:graphicData>
                  </a:graphic>
                </wp:anchor>
              </w:drawing>
            </w:r>
          </w:p>
          <w:p w:rsidR="00000000" w:rsidDel="00000000" w:rsidP="00000000" w:rsidRDefault="00000000" w:rsidRPr="00000000" w14:paraId="000000C7">
            <w:pPr>
              <w:tabs>
                <w:tab w:val="left" w:leader="none" w:pos="1134"/>
              </w:tabs>
              <w:spacing w:after="120" w:before="120" w:line="276" w:lineRule="auto"/>
              <w:rPr>
                <w:rFonts w:ascii="Arial" w:cs="Arial" w:eastAsia="Arial" w:hAnsi="Arial"/>
                <w:i w:val="1"/>
                <w:iCs w:val="1"/>
                <w:sz w:val="20"/>
                <w:szCs w:val="20"/>
                <w:highlight w:val="yellow"/>
              </w:rPr>
            </w:pPr>
            <w:r w:rsidDel="00000000" w:rsidR="00000000" w:rsidRPr="00000000">
              <w:rPr>
                <w:rFonts w:ascii="Arial" w:cs="Arial" w:eastAsia="Arial" w:hAnsi="Arial"/>
                <w:sz w:val="20"/>
                <w:szCs w:val="20"/>
                <w:rtl w:val="0"/>
              </w:rPr>
              <w:t xml:space="preserve">The University of Warsaw is a winner of the HR Excellence in Research award granted by the European Commission to institutions that comply with the European Charter for Researchers. </w:t>
            </w:r>
            <w:r w:rsidDel="00000000" w:rsidR="00000000" w:rsidRPr="00000000">
              <w:rPr>
                <w:rtl w:val="0"/>
              </w:rPr>
            </w:r>
          </w:p>
        </w:tc>
      </w:tr>
    </w:tbl>
    <w:p w:rsidR="00000000" w:rsidDel="00000000" w:rsidP="00000000" w:rsidRDefault="00000000" w:rsidRPr="00000000" w14:paraId="000000CA">
      <w:pPr>
        <w:spacing w:after="0" w:line="276" w:lineRule="auto"/>
        <w:rPr>
          <w:rFonts w:ascii="Arial" w:cs="Arial" w:eastAsia="Arial" w:hAnsi="Arial"/>
        </w:rPr>
      </w:pPr>
      <w:r w:rsidDel="00000000" w:rsidR="00000000" w:rsidRPr="00000000">
        <w:rPr>
          <w:rtl w:val="0"/>
        </w:rPr>
      </w:r>
    </w:p>
    <w:sectPr>
      <w:pgSz w:h="16838" w:w="11906" w:orient="portrait"/>
      <w:pgMar w:bottom="720" w:top="567"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w:t>
      </w:r>
      <w:hyperlink r:id="rId1">
        <w:r w:rsidDel="00000000" w:rsidR="00000000" w:rsidRPr="00000000">
          <w:rPr>
            <w:rFonts w:ascii="Arial" w:cs="Arial" w:eastAsia="Arial" w:hAnsi="Arial"/>
            <w:color w:val="1155cc"/>
            <w:sz w:val="16"/>
            <w:szCs w:val="16"/>
            <w:u w:val="single"/>
            <w:rtl w:val="0"/>
          </w:rPr>
          <w:t xml:space="preserve">https://www.ncn.gov.pl/sites/default/files/pliki/uchwaly-rady/2024/uchwala25_2024-zal1.pdf</w:t>
        </w:r>
      </w:hyperlink>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Akapitzlist">
    <w:name w:val="List Paragraph"/>
    <w:basedOn w:val="Normalny"/>
    <w:uiPriority w:val="34"/>
    <w:qFormat w:val="1"/>
    <w:rsid w:val="00E67435"/>
    <w:pPr>
      <w:ind w:left="720"/>
      <w:contextualSpacing w:val="1"/>
    </w:pPr>
  </w:style>
  <w:style w:type="paragraph" w:styleId="Tekstprzypisudolnego">
    <w:name w:val="footnote text"/>
    <w:basedOn w:val="Normalny"/>
    <w:link w:val="TekstprzypisudolnegoZnak"/>
    <w:uiPriority w:val="99"/>
    <w:unhideWhenUsed w:val="1"/>
    <w:qFormat w:val="1"/>
    <w:rsid w:val="00E67435"/>
    <w:pPr>
      <w:spacing w:after="0" w:line="240" w:lineRule="auto"/>
    </w:pPr>
    <w:rPr>
      <w:sz w:val="20"/>
      <w:szCs w:val="20"/>
    </w:rPr>
  </w:style>
  <w:style w:type="character" w:styleId="TekstprzypisudolnegoZnak" w:customStyle="1">
    <w:name w:val="Tekst przypisu dolnego Znak"/>
    <w:basedOn w:val="Domylnaczcionkaakapitu"/>
    <w:link w:val="Tekstprzypisudolnego"/>
    <w:uiPriority w:val="99"/>
    <w:qFormat w:val="1"/>
    <w:rsid w:val="00E67435"/>
    <w:rPr>
      <w:sz w:val="20"/>
      <w:szCs w:val="20"/>
    </w:rPr>
  </w:style>
  <w:style w:type="character" w:styleId="Odwoanieprzypisudolnego">
    <w:name w:val="footnote reference"/>
    <w:basedOn w:val="Domylnaczcionkaakapitu"/>
    <w:uiPriority w:val="99"/>
    <w:semiHidden w:val="1"/>
    <w:unhideWhenUsed w:val="1"/>
    <w:qFormat w:val="1"/>
    <w:rsid w:val="00E67435"/>
    <w:rPr>
      <w:vertAlign w:val="superscript"/>
    </w:rPr>
  </w:style>
  <w:style w:type="character" w:styleId="Hipercze">
    <w:name w:val="Hyperlink"/>
    <w:basedOn w:val="Domylnaczcionkaakapitu"/>
    <w:uiPriority w:val="99"/>
    <w:unhideWhenUsed w:val="1"/>
    <w:rsid w:val="00E67435"/>
    <w:rPr>
      <w:color w:val="0563c1" w:themeColor="hyperlink"/>
      <w:u w:val="single"/>
    </w:rPr>
  </w:style>
  <w:style w:type="table" w:styleId="Tabela-Siatka">
    <w:name w:val="Table Grid"/>
    <w:basedOn w:val="Standardowy"/>
    <w:uiPriority w:val="39"/>
    <w:rsid w:val="00E6743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ela-Motyw">
    <w:name w:val="Table Theme"/>
    <w:basedOn w:val="Standardowy"/>
    <w:uiPriority w:val="99"/>
    <w:rsid w:val="00E6743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Odwoaniedokomentarza">
    <w:name w:val="annotation reference"/>
    <w:basedOn w:val="Domylnaczcionkaakapitu"/>
    <w:uiPriority w:val="99"/>
    <w:semiHidden w:val="1"/>
    <w:unhideWhenUsed w:val="1"/>
    <w:rsid w:val="0089009E"/>
    <w:rPr>
      <w:sz w:val="16"/>
      <w:szCs w:val="16"/>
    </w:rPr>
  </w:style>
  <w:style w:type="paragraph" w:styleId="Tekstkomentarza">
    <w:name w:val="annotation text"/>
    <w:basedOn w:val="Normalny"/>
    <w:link w:val="TekstkomentarzaZnak"/>
    <w:uiPriority w:val="99"/>
    <w:semiHidden w:val="1"/>
    <w:unhideWhenUsed w:val="1"/>
    <w:rsid w:val="0089009E"/>
    <w:pPr>
      <w:spacing w:line="240" w:lineRule="auto"/>
    </w:pPr>
    <w:rPr>
      <w:sz w:val="20"/>
      <w:szCs w:val="20"/>
    </w:rPr>
  </w:style>
  <w:style w:type="character" w:styleId="TekstkomentarzaZnak" w:customStyle="1">
    <w:name w:val="Tekst komentarza Znak"/>
    <w:basedOn w:val="Domylnaczcionkaakapitu"/>
    <w:link w:val="Tekstkomentarza"/>
    <w:uiPriority w:val="99"/>
    <w:semiHidden w:val="1"/>
    <w:rsid w:val="0089009E"/>
    <w:rPr>
      <w:sz w:val="20"/>
      <w:szCs w:val="20"/>
    </w:rPr>
  </w:style>
  <w:style w:type="paragraph" w:styleId="Tematkomentarza">
    <w:name w:val="annotation subject"/>
    <w:basedOn w:val="Tekstkomentarza"/>
    <w:next w:val="Tekstkomentarza"/>
    <w:link w:val="TematkomentarzaZnak"/>
    <w:uiPriority w:val="99"/>
    <w:semiHidden w:val="1"/>
    <w:unhideWhenUsed w:val="1"/>
    <w:rsid w:val="0089009E"/>
    <w:rPr>
      <w:b w:val="1"/>
      <w:bCs w:val="1"/>
    </w:rPr>
  </w:style>
  <w:style w:type="character" w:styleId="TematkomentarzaZnak" w:customStyle="1">
    <w:name w:val="Temat komentarza Znak"/>
    <w:basedOn w:val="TekstkomentarzaZnak"/>
    <w:link w:val="Tematkomentarza"/>
    <w:uiPriority w:val="99"/>
    <w:semiHidden w:val="1"/>
    <w:rsid w:val="0089009E"/>
    <w:rPr>
      <w:b w:val="1"/>
      <w:bCs w:val="1"/>
      <w:sz w:val="20"/>
      <w:szCs w:val="20"/>
    </w:rPr>
  </w:style>
  <w:style w:type="paragraph" w:styleId="Tekstdymka">
    <w:name w:val="Balloon Text"/>
    <w:basedOn w:val="Normalny"/>
    <w:link w:val="TekstdymkaZnak"/>
    <w:uiPriority w:val="99"/>
    <w:semiHidden w:val="1"/>
    <w:unhideWhenUsed w:val="1"/>
    <w:rsid w:val="0089009E"/>
    <w:pPr>
      <w:spacing w:after="0" w:line="240" w:lineRule="auto"/>
    </w:pPr>
    <w:rPr>
      <w:rFonts w:ascii="Segoe UI" w:cs="Segoe UI" w:hAnsi="Segoe UI"/>
      <w:sz w:val="18"/>
      <w:szCs w:val="18"/>
    </w:rPr>
  </w:style>
  <w:style w:type="character" w:styleId="TekstdymkaZnak" w:customStyle="1">
    <w:name w:val="Tekst dymka Znak"/>
    <w:basedOn w:val="Domylnaczcionkaakapitu"/>
    <w:link w:val="Tekstdymka"/>
    <w:uiPriority w:val="99"/>
    <w:semiHidden w:val="1"/>
    <w:rsid w:val="0089009E"/>
    <w:rPr>
      <w:rFonts w:ascii="Segoe UI" w:cs="Segoe UI" w:hAnsi="Segoe UI"/>
      <w:sz w:val="18"/>
      <w:szCs w:val="18"/>
    </w:rPr>
  </w:style>
  <w:style w:type="character" w:styleId="UnresolvedMention" w:customStyle="1">
    <w:name w:val="Unresolved Mention"/>
    <w:basedOn w:val="Domylnaczcionkaakapitu"/>
    <w:uiPriority w:val="99"/>
    <w:semiHidden w:val="1"/>
    <w:unhideWhenUsed w:val="1"/>
    <w:rsid w:val="00694EDD"/>
    <w:rPr>
      <w:color w:val="605e5c"/>
      <w:shd w:color="auto" w:fill="e1dfdd" w:val="clear"/>
    </w:rPr>
  </w:style>
  <w:style w:type="character" w:styleId="UyteHipercze">
    <w:name w:val="FollowedHyperlink"/>
    <w:basedOn w:val="Domylnaczcionkaakapitu"/>
    <w:uiPriority w:val="99"/>
    <w:semiHidden w:val="1"/>
    <w:unhideWhenUsed w:val="1"/>
    <w:rsid w:val="00443941"/>
    <w:rPr>
      <w:color w:val="954f72" w:themeColor="followedHyperlink"/>
      <w:u w:val="single"/>
    </w:rPr>
  </w:style>
  <w:style w:type="character" w:styleId="Uwydatnienie">
    <w:name w:val="Emphasis"/>
    <w:basedOn w:val="Domylnaczcionkaakapitu"/>
    <w:uiPriority w:val="20"/>
    <w:qFormat w:val="1"/>
    <w:rsid w:val="007275D2"/>
    <w:rPr>
      <w:i w:val="1"/>
      <w:iCs w:val="1"/>
    </w:rPr>
  </w:style>
  <w:style w:type="paragraph" w:styleId="Default" w:customStyle="1">
    <w:name w:val="Default"/>
    <w:rsid w:val="0041760B"/>
    <w:pPr>
      <w:autoSpaceDE w:val="0"/>
      <w:autoSpaceDN w:val="0"/>
      <w:adjustRightInd w:val="0"/>
      <w:spacing w:after="0" w:line="240" w:lineRule="auto"/>
    </w:pPr>
    <w:rPr>
      <w:rFonts w:ascii="Times New Roman" w:cs="Times New Roman" w:hAnsi="Times New Roman"/>
      <w:color w:val="000000"/>
      <w:sz w:val="24"/>
      <w:szCs w:val="24"/>
      <w:lang w:val="en-US"/>
    </w:rPr>
  </w:style>
  <w:style w:type="character" w:styleId="Nagwek1Znak" w:customStyle="1">
    <w:name w:val="Nagłówek 1 Znak"/>
    <w:basedOn w:val="Domylnaczcionkaakapitu"/>
    <w:link w:val="Nagwek1"/>
    <w:uiPriority w:val="9"/>
    <w:rsid w:val="0097497F"/>
    <w:rPr>
      <w:rFonts w:ascii="Times New Roman" w:cs="Times New Roman" w:eastAsia="Times New Roman" w:hAnsi="Times New Roman"/>
      <w:b w:val="1"/>
      <w:bCs w:val="1"/>
      <w:kern w:val="36"/>
      <w:sz w:val="48"/>
      <w:szCs w:val="48"/>
      <w:lang w:val="en-US"/>
    </w:rPr>
  </w:style>
  <w:style w:type="paragraph" w:styleId="HTML-wstpniesformatowany">
    <w:name w:val="HTML Preformatted"/>
    <w:basedOn w:val="Normalny"/>
    <w:link w:val="HTML-wstpniesformatowanyZnak"/>
    <w:uiPriority w:val="99"/>
    <w:unhideWhenUsed w:val="1"/>
    <w:rsid w:val="009E2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pl-PL"/>
    </w:rPr>
  </w:style>
  <w:style w:type="character" w:styleId="HTML-wstpniesformatowanyZnak" w:customStyle="1">
    <w:name w:val="HTML - wstępnie sformatowany Znak"/>
    <w:basedOn w:val="Domylnaczcionkaakapitu"/>
    <w:link w:val="HTML-wstpniesformatowany"/>
    <w:uiPriority w:val="99"/>
    <w:rsid w:val="009E2B76"/>
    <w:rPr>
      <w:rFonts w:ascii="Courier New" w:cs="Courier New" w:eastAsia="Times New Roman" w:hAnsi="Courier New"/>
      <w:sz w:val="20"/>
      <w:szCs w:val="20"/>
      <w:lang w:eastAsia="pl-PL"/>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https://arxiv.org/abs/2507.12025" TargetMode="External"/><Relationship Id="rId10" Type="http://schemas.openxmlformats.org/officeDocument/2006/relationships/hyperlink" Target="https://doi.org/10.1017/jsl.2023.43" TargetMode="External"/><Relationship Id="rId12" Type="http://schemas.openxmlformats.org/officeDocument/2006/relationships/image" Target="media/image2.png"/><Relationship Id="rId9"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www.ncn.gov.pl/sites/default/files/pliki/uchwaly-rady/2024/uchwala25_2024-zal1.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2yttoMN/32RCrOCUCACsMAlS0g==">CgMxLjAyDmguMTB2ZTk3bmphbGZwOAByITFHRWdXSXJoUDdjWTZYdUx5LXdvY251bEptU29jVjExWg==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2025-06-04T12:15:00Z</dcterms:created>
  <dc:creator>Joanna Wąsowska</dc:creator>
</cp:coreProperties>
</file>